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ACC92" w14:textId="333058E8" w:rsidR="004E1524" w:rsidRDefault="004E1524" w:rsidP="004E1524">
      <w:pPr>
        <w:jc w:val="right"/>
      </w:pPr>
      <w:r>
        <w:rPr>
          <w:noProof/>
          <w:lang w:eastAsia="en-IE"/>
        </w:rPr>
        <w:drawing>
          <wp:anchor distT="0" distB="0" distL="0" distR="0" simplePos="0" relativeHeight="251661312" behindDoc="0" locked="0" layoutInCell="1" allowOverlap="1" wp14:anchorId="34DC10B1" wp14:editId="7C3973C4">
            <wp:simplePos x="0" y="0"/>
            <wp:positionH relativeFrom="page">
              <wp:posOffset>3668395</wp:posOffset>
            </wp:positionH>
            <wp:positionV relativeFrom="paragraph">
              <wp:posOffset>0</wp:posOffset>
            </wp:positionV>
            <wp:extent cx="1749425" cy="773430"/>
            <wp:effectExtent l="0" t="0" r="3175" b="7620"/>
            <wp:wrapSquare wrapText="bothSides"/>
            <wp:docPr id="5" name="image3.png" descr="https://drcd.cloud.gov.ie/KnowledgeBase/DepartmentLogosandBrandedTemplates/Content/PublishingImages/Pages/OurRuralFuture/Our%20Rural%20Future_Std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5" cstate="print"/>
                    <a:stretch>
                      <a:fillRect/>
                    </a:stretch>
                  </pic:blipFill>
                  <pic:spPr>
                    <a:xfrm>
                      <a:off x="0" y="0"/>
                      <a:ext cx="1749425" cy="77343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IE"/>
        </w:rPr>
        <w:drawing>
          <wp:anchor distT="0" distB="0" distL="0" distR="0" simplePos="0" relativeHeight="251659264" behindDoc="0" locked="0" layoutInCell="1" allowOverlap="1" wp14:anchorId="312B8756" wp14:editId="444F636C">
            <wp:simplePos x="0" y="0"/>
            <wp:positionH relativeFrom="margin">
              <wp:align>left</wp:align>
            </wp:positionH>
            <wp:positionV relativeFrom="paragraph">
              <wp:posOffset>0</wp:posOffset>
            </wp:positionV>
            <wp:extent cx="2287270" cy="749300"/>
            <wp:effectExtent l="0" t="0" r="0" b="0"/>
            <wp:wrapSquare wrapText="bothSides"/>
            <wp:docPr id="3" name="image2.png"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287270" cy="749300"/>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009B68E8">
        <w:t xml:space="preserve"> </w:t>
      </w:r>
      <w:r w:rsidRPr="000B394B">
        <w:rPr>
          <w:b/>
          <w:noProof/>
          <w:color w:val="008080"/>
          <w:sz w:val="36"/>
          <w:szCs w:val="36"/>
          <w:lang w:eastAsia="en-IE"/>
        </w:rPr>
        <w:drawing>
          <wp:inline distT="0" distB="0" distL="0" distR="0" wp14:anchorId="3DD6906D" wp14:editId="7EB0819B">
            <wp:extent cx="740767" cy="996950"/>
            <wp:effectExtent l="0" t="0" r="2540" b="0"/>
            <wp:docPr id="6" name="Picture 6" descr="F:\Community_Enterprise\Logos\MCC_LogoNew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Community_Enterprise\Logos\MCC_LogoNew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3735" cy="1014403"/>
                    </a:xfrm>
                    <a:prstGeom prst="rect">
                      <a:avLst/>
                    </a:prstGeom>
                    <a:noFill/>
                    <a:ln>
                      <a:noFill/>
                    </a:ln>
                  </pic:spPr>
                </pic:pic>
              </a:graphicData>
            </a:graphic>
          </wp:inline>
        </w:drawing>
      </w:r>
    </w:p>
    <w:p w14:paraId="146DB919" w14:textId="3D1A7C1D" w:rsidR="00591F6F" w:rsidRDefault="004E1524" w:rsidP="009B68E8">
      <w:pPr>
        <w:rPr>
          <w:b/>
          <w:bCs/>
          <w:sz w:val="60"/>
          <w:szCs w:val="60"/>
        </w:rPr>
      </w:pPr>
      <w:r>
        <w:t xml:space="preserve">   </w:t>
      </w:r>
      <w:r>
        <w:rPr>
          <w:b/>
          <w:bCs/>
          <w:sz w:val="60"/>
          <w:szCs w:val="60"/>
        </w:rPr>
        <w:t xml:space="preserve"> </w:t>
      </w:r>
      <w:r w:rsidR="009B68E8">
        <w:rPr>
          <w:b/>
          <w:bCs/>
          <w:sz w:val="60"/>
          <w:szCs w:val="60"/>
        </w:rPr>
        <w:t>Community Recognition Fund 2024</w:t>
      </w:r>
    </w:p>
    <w:p w14:paraId="306213AD" w14:textId="77777777" w:rsidR="009B68E8" w:rsidRPr="005D5713" w:rsidRDefault="009B68E8" w:rsidP="009B68E8">
      <w:pPr>
        <w:pStyle w:val="Default"/>
        <w:rPr>
          <w:sz w:val="22"/>
          <w:szCs w:val="22"/>
        </w:rPr>
      </w:pPr>
      <w:r w:rsidRPr="005D5713">
        <w:rPr>
          <w:sz w:val="22"/>
          <w:szCs w:val="22"/>
        </w:rPr>
        <w:t xml:space="preserve">The funding is specifically targeted at projects that </w:t>
      </w:r>
      <w:proofErr w:type="gramStart"/>
      <w:r w:rsidRPr="005D5713">
        <w:rPr>
          <w:sz w:val="22"/>
          <w:szCs w:val="22"/>
        </w:rPr>
        <w:t>are located in</w:t>
      </w:r>
      <w:proofErr w:type="gramEnd"/>
      <w:r w:rsidRPr="005D5713">
        <w:rPr>
          <w:sz w:val="22"/>
          <w:szCs w:val="22"/>
        </w:rPr>
        <w:t xml:space="preserve"> communities, towns and villages that are hosting the Beneficiaries of Temporary Protection and/or International Protection Applicants (‘new arrivals’) including towns identified for the rapid build homes programme. The Fund aims to support the development of facilities that will be used in the future by all members of the community. It is separate in its objectives and scope to any other public funding streams which aim to support the development of public service needs arising from the significant number of arrivals from Ukraine and other countries. </w:t>
      </w:r>
    </w:p>
    <w:p w14:paraId="76A93AB7" w14:textId="77777777" w:rsidR="009B68E8" w:rsidRPr="005D5713" w:rsidRDefault="009B68E8" w:rsidP="009B68E8">
      <w:pPr>
        <w:pStyle w:val="Default"/>
        <w:rPr>
          <w:sz w:val="22"/>
          <w:szCs w:val="22"/>
        </w:rPr>
      </w:pPr>
    </w:p>
    <w:p w14:paraId="0E2EB081" w14:textId="77777777" w:rsidR="00B15215" w:rsidRDefault="009B68E8" w:rsidP="009B68E8">
      <w:pPr>
        <w:pStyle w:val="Default"/>
        <w:rPr>
          <w:sz w:val="22"/>
          <w:szCs w:val="22"/>
        </w:rPr>
      </w:pPr>
      <w:r w:rsidRPr="00B07A31">
        <w:rPr>
          <w:sz w:val="22"/>
          <w:szCs w:val="22"/>
        </w:rPr>
        <w:t xml:space="preserve">The Community Recognition Fund was first introduced in 2023 to recognise the huge efforts made by communities in welcoming and supporting people coming to Ireland. Based on the continued impacts on communities throughout the country and the need to support these communities in welcoming new arrivals, a further €50 million is being provided under the Community Recognition Fund 2024.  </w:t>
      </w:r>
    </w:p>
    <w:p w14:paraId="1FCA4732" w14:textId="77777777" w:rsidR="00B15215" w:rsidRDefault="00B15215" w:rsidP="009B68E8">
      <w:pPr>
        <w:pStyle w:val="Default"/>
        <w:rPr>
          <w:sz w:val="22"/>
          <w:szCs w:val="22"/>
        </w:rPr>
      </w:pPr>
    </w:p>
    <w:p w14:paraId="5AA2C4E8" w14:textId="4583EA8B" w:rsidR="009B68E8" w:rsidRPr="00B15215" w:rsidRDefault="005D5713" w:rsidP="009B68E8">
      <w:pPr>
        <w:pStyle w:val="Default"/>
        <w:rPr>
          <w:b/>
          <w:bCs/>
          <w:sz w:val="22"/>
          <w:szCs w:val="22"/>
        </w:rPr>
      </w:pPr>
      <w:r w:rsidRPr="00B15215">
        <w:rPr>
          <w:b/>
          <w:bCs/>
          <w:sz w:val="22"/>
          <w:szCs w:val="22"/>
        </w:rPr>
        <w:t xml:space="preserve">Monaghan County Council </w:t>
      </w:r>
      <w:r w:rsidR="00B15215" w:rsidRPr="00B15215">
        <w:rPr>
          <w:b/>
          <w:bCs/>
          <w:sz w:val="22"/>
          <w:szCs w:val="22"/>
        </w:rPr>
        <w:t>has received an</w:t>
      </w:r>
      <w:r w:rsidR="009B68E8" w:rsidRPr="00B15215">
        <w:rPr>
          <w:b/>
          <w:bCs/>
          <w:sz w:val="22"/>
          <w:szCs w:val="22"/>
        </w:rPr>
        <w:t xml:space="preserve"> allocated</w:t>
      </w:r>
      <w:r w:rsidR="00EE2CC3">
        <w:rPr>
          <w:b/>
          <w:bCs/>
          <w:sz w:val="22"/>
          <w:szCs w:val="22"/>
        </w:rPr>
        <w:t xml:space="preserve"> of</w:t>
      </w:r>
      <w:r w:rsidR="009B68E8" w:rsidRPr="00B15215">
        <w:rPr>
          <w:b/>
          <w:bCs/>
          <w:sz w:val="22"/>
          <w:szCs w:val="22"/>
        </w:rPr>
        <w:t xml:space="preserve"> </w:t>
      </w:r>
      <w:r w:rsidRPr="00B07A31">
        <w:rPr>
          <w:b/>
          <w:bCs/>
          <w:sz w:val="22"/>
          <w:szCs w:val="22"/>
        </w:rPr>
        <w:t>€</w:t>
      </w:r>
      <w:r w:rsidRPr="00B15215">
        <w:rPr>
          <w:b/>
          <w:bCs/>
          <w:sz w:val="22"/>
          <w:szCs w:val="22"/>
        </w:rPr>
        <w:t>914,972.</w:t>
      </w:r>
    </w:p>
    <w:p w14:paraId="6EA69749" w14:textId="77777777" w:rsidR="005D5713" w:rsidRDefault="005D5713" w:rsidP="005D5713">
      <w:pPr>
        <w:pStyle w:val="Default"/>
        <w:rPr>
          <w:sz w:val="22"/>
          <w:szCs w:val="22"/>
        </w:rPr>
      </w:pPr>
    </w:p>
    <w:p w14:paraId="0871A1FE" w14:textId="19C562E5" w:rsidR="005D5713" w:rsidRPr="005D5713" w:rsidRDefault="005D5713" w:rsidP="005D5713">
      <w:pPr>
        <w:pStyle w:val="Default"/>
        <w:rPr>
          <w:sz w:val="22"/>
          <w:szCs w:val="22"/>
        </w:rPr>
      </w:pPr>
      <w:r w:rsidRPr="005D5713">
        <w:rPr>
          <w:sz w:val="22"/>
          <w:szCs w:val="22"/>
        </w:rPr>
        <w:t xml:space="preserve">The proposal </w:t>
      </w:r>
      <w:r>
        <w:rPr>
          <w:sz w:val="22"/>
          <w:szCs w:val="22"/>
        </w:rPr>
        <w:t xml:space="preserve">must </w:t>
      </w:r>
      <w:r w:rsidRPr="005D5713">
        <w:rPr>
          <w:sz w:val="22"/>
          <w:szCs w:val="22"/>
        </w:rPr>
        <w:t xml:space="preserve">demonstrate that the funding is targeted at, and specifically invested in, those communities, </w:t>
      </w:r>
      <w:proofErr w:type="gramStart"/>
      <w:r w:rsidRPr="005D5713">
        <w:rPr>
          <w:sz w:val="22"/>
          <w:szCs w:val="22"/>
        </w:rPr>
        <w:t>villages</w:t>
      </w:r>
      <w:proofErr w:type="gramEnd"/>
      <w:r w:rsidRPr="005D5713">
        <w:rPr>
          <w:sz w:val="22"/>
          <w:szCs w:val="22"/>
        </w:rPr>
        <w:t xml:space="preserve"> and towns where the </w:t>
      </w:r>
      <w:r w:rsidRPr="005D5713">
        <w:rPr>
          <w:b/>
          <w:bCs/>
          <w:sz w:val="22"/>
          <w:szCs w:val="22"/>
        </w:rPr>
        <w:t xml:space="preserve">highest level </w:t>
      </w:r>
      <w:r w:rsidRPr="005D5713">
        <w:rPr>
          <w:sz w:val="22"/>
          <w:szCs w:val="22"/>
        </w:rPr>
        <w:t xml:space="preserve">of new arrivals are located and where there is a </w:t>
      </w:r>
      <w:r w:rsidRPr="005D5713">
        <w:rPr>
          <w:b/>
          <w:bCs/>
          <w:sz w:val="22"/>
          <w:szCs w:val="22"/>
        </w:rPr>
        <w:t xml:space="preserve">clear need for investment </w:t>
      </w:r>
      <w:r w:rsidRPr="005D5713">
        <w:rPr>
          <w:sz w:val="22"/>
          <w:szCs w:val="22"/>
        </w:rPr>
        <w:t>identified.</w:t>
      </w:r>
    </w:p>
    <w:p w14:paraId="11BAD852" w14:textId="77777777" w:rsidR="005D5713" w:rsidRDefault="005D5713" w:rsidP="005D5713">
      <w:pPr>
        <w:pStyle w:val="Default"/>
        <w:rPr>
          <w:sz w:val="23"/>
          <w:szCs w:val="23"/>
        </w:rPr>
      </w:pPr>
    </w:p>
    <w:p w14:paraId="315F9B49" w14:textId="440CCB62" w:rsidR="005D5713" w:rsidRPr="005D5713" w:rsidRDefault="005D5713" w:rsidP="005D5713">
      <w:pPr>
        <w:pStyle w:val="Default"/>
        <w:rPr>
          <w:b/>
          <w:bCs/>
          <w:sz w:val="22"/>
          <w:szCs w:val="22"/>
        </w:rPr>
      </w:pPr>
      <w:r w:rsidRPr="00B07A31">
        <w:rPr>
          <w:b/>
          <w:bCs/>
          <w:sz w:val="22"/>
          <w:szCs w:val="22"/>
        </w:rPr>
        <w:t xml:space="preserve">Projects situated in areas that do not have high levels of new arrivals will </w:t>
      </w:r>
      <w:r>
        <w:rPr>
          <w:b/>
          <w:bCs/>
          <w:sz w:val="22"/>
          <w:szCs w:val="22"/>
        </w:rPr>
        <w:t>not be</w:t>
      </w:r>
      <w:r w:rsidRPr="00B07A31">
        <w:rPr>
          <w:b/>
          <w:bCs/>
          <w:sz w:val="22"/>
          <w:szCs w:val="22"/>
        </w:rPr>
        <w:t xml:space="preserve"> eligible</w:t>
      </w:r>
      <w:r>
        <w:rPr>
          <w:b/>
          <w:bCs/>
          <w:sz w:val="22"/>
          <w:szCs w:val="22"/>
        </w:rPr>
        <w:t xml:space="preserve"> for funding under the Community Recognition Fund 202</w:t>
      </w:r>
      <w:r w:rsidR="00B15215">
        <w:rPr>
          <w:b/>
          <w:bCs/>
          <w:sz w:val="22"/>
          <w:szCs w:val="22"/>
        </w:rPr>
        <w:t>4.</w:t>
      </w:r>
    </w:p>
    <w:p w14:paraId="2D800A3D" w14:textId="77777777" w:rsidR="005D5713" w:rsidRDefault="005D5713" w:rsidP="005D5713">
      <w:pPr>
        <w:pStyle w:val="Default"/>
        <w:rPr>
          <w:sz w:val="22"/>
          <w:szCs w:val="22"/>
        </w:rPr>
      </w:pPr>
    </w:p>
    <w:p w14:paraId="70508481" w14:textId="0806D04C" w:rsidR="005D5713" w:rsidRPr="005D5713" w:rsidRDefault="005D5713" w:rsidP="005D5713">
      <w:pPr>
        <w:pStyle w:val="Default"/>
        <w:rPr>
          <w:sz w:val="22"/>
          <w:szCs w:val="22"/>
        </w:rPr>
      </w:pPr>
      <w:r w:rsidRPr="005D5713">
        <w:rPr>
          <w:sz w:val="22"/>
          <w:szCs w:val="22"/>
        </w:rPr>
        <w:t xml:space="preserve">Projects to be funded will be capital in nature, deliver medium-long term benefits for the communities in which they are located, and be capable of being delivered over the course of 2025 and 2026. A minimum </w:t>
      </w:r>
      <w:proofErr w:type="gramStart"/>
      <w:r w:rsidRPr="005D5713">
        <w:rPr>
          <w:sz w:val="22"/>
          <w:szCs w:val="22"/>
        </w:rPr>
        <w:t>spend</w:t>
      </w:r>
      <w:proofErr w:type="gramEnd"/>
      <w:r w:rsidRPr="005D5713">
        <w:rPr>
          <w:sz w:val="22"/>
          <w:szCs w:val="22"/>
        </w:rPr>
        <w:t xml:space="preserve"> of 50% of the allocation must be incurred in 2025. Eligible projects will receive funding for capital costs, but not for any ongoing operational or running costs. </w:t>
      </w:r>
    </w:p>
    <w:p w14:paraId="50A44C8C" w14:textId="77777777" w:rsidR="005D5713" w:rsidRPr="005D5713" w:rsidRDefault="005D5713" w:rsidP="005D5713">
      <w:pPr>
        <w:pStyle w:val="Default"/>
        <w:rPr>
          <w:sz w:val="22"/>
          <w:szCs w:val="22"/>
        </w:rPr>
      </w:pPr>
    </w:p>
    <w:p w14:paraId="470C1404" w14:textId="5BF82D57" w:rsidR="009B68E8" w:rsidRDefault="005D5713" w:rsidP="005D5713">
      <w:pPr>
        <w:rPr>
          <w:rFonts w:ascii="Calibri" w:hAnsi="Calibri" w:cs="Calibri"/>
          <w:color w:val="000000"/>
          <w:kern w:val="0"/>
        </w:rPr>
      </w:pPr>
      <w:r w:rsidRPr="005D5713">
        <w:rPr>
          <w:rFonts w:ascii="Calibri" w:hAnsi="Calibri" w:cs="Calibri"/>
          <w:b/>
          <w:bCs/>
          <w:color w:val="000000"/>
          <w:kern w:val="0"/>
        </w:rPr>
        <w:t>The minimum level of funding for an individual project is €50,000 with a maximum of €500,000 applying.</w:t>
      </w:r>
      <w:r w:rsidRPr="005D5713">
        <w:rPr>
          <w:rFonts w:ascii="Calibri" w:hAnsi="Calibri" w:cs="Calibri"/>
          <w:color w:val="000000"/>
          <w:kern w:val="0"/>
        </w:rPr>
        <w:t xml:space="preserve"> Smaller projects cannot be artificially combined to meet the minimum threshold of €50,000 – while the 2023 scheme provided funding for small scale investment in clubs and communities (</w:t>
      </w:r>
      <w:proofErr w:type="gramStart"/>
      <w:r w:rsidRPr="005D5713">
        <w:rPr>
          <w:rFonts w:ascii="Calibri" w:hAnsi="Calibri" w:cs="Calibri"/>
          <w:color w:val="000000"/>
          <w:kern w:val="0"/>
        </w:rPr>
        <w:t>e.g.</w:t>
      </w:r>
      <w:proofErr w:type="gramEnd"/>
      <w:r w:rsidRPr="005D5713">
        <w:rPr>
          <w:rFonts w:ascii="Calibri" w:hAnsi="Calibri" w:cs="Calibri"/>
          <w:color w:val="000000"/>
          <w:kern w:val="0"/>
        </w:rPr>
        <w:t xml:space="preserve"> for small scale equipment), the focus of the 2024 scheme is on projects of greater scale and impact.</w:t>
      </w:r>
    </w:p>
    <w:p w14:paraId="31109421" w14:textId="501A6323" w:rsidR="005D5713" w:rsidRPr="00B15215" w:rsidRDefault="005D5713" w:rsidP="005D5713">
      <w:pPr>
        <w:pStyle w:val="Default"/>
        <w:rPr>
          <w:sz w:val="22"/>
          <w:szCs w:val="22"/>
        </w:rPr>
      </w:pPr>
      <w:r w:rsidRPr="00B15215">
        <w:rPr>
          <w:sz w:val="22"/>
          <w:szCs w:val="22"/>
        </w:rPr>
        <w:t>Local authorities have scope to invest the funding based on their own distinct local needs as identified through a “bottom-up” approach and based on the community engagement</w:t>
      </w:r>
      <w:r w:rsidR="00B15215">
        <w:rPr>
          <w:sz w:val="22"/>
          <w:szCs w:val="22"/>
        </w:rPr>
        <w:t>.</w:t>
      </w:r>
    </w:p>
    <w:p w14:paraId="5EBE1387" w14:textId="77777777" w:rsidR="00B15215" w:rsidRDefault="00B15215" w:rsidP="005D5713">
      <w:pPr>
        <w:pStyle w:val="Default"/>
        <w:rPr>
          <w:sz w:val="22"/>
          <w:szCs w:val="22"/>
        </w:rPr>
      </w:pPr>
    </w:p>
    <w:p w14:paraId="640F7335" w14:textId="58340559" w:rsidR="005D5713" w:rsidRPr="00B15215" w:rsidRDefault="005D5713" w:rsidP="005D5713">
      <w:pPr>
        <w:pStyle w:val="Default"/>
        <w:rPr>
          <w:sz w:val="22"/>
          <w:szCs w:val="22"/>
        </w:rPr>
      </w:pPr>
      <w:r w:rsidRPr="00B15215">
        <w:rPr>
          <w:sz w:val="22"/>
          <w:szCs w:val="22"/>
        </w:rPr>
        <w:t xml:space="preserve">However, the type of projects eligible for funding are: </w:t>
      </w:r>
    </w:p>
    <w:p w14:paraId="3FC39218" w14:textId="36F1BEA2" w:rsidR="005D5713" w:rsidRPr="00B15215" w:rsidRDefault="005D5713" w:rsidP="005D5713">
      <w:pPr>
        <w:pStyle w:val="Default"/>
        <w:numPr>
          <w:ilvl w:val="0"/>
          <w:numId w:val="1"/>
        </w:numPr>
        <w:spacing w:after="61"/>
        <w:rPr>
          <w:sz w:val="22"/>
          <w:szCs w:val="22"/>
        </w:rPr>
      </w:pPr>
      <w:r w:rsidRPr="00B15215">
        <w:rPr>
          <w:sz w:val="22"/>
          <w:szCs w:val="22"/>
        </w:rPr>
        <w:t xml:space="preserve">development, enhancement or refurbishment of community or cultural facilities including play areas, walkways, parks, community/sensory gardens, allotments, and recreational </w:t>
      </w:r>
      <w:proofErr w:type="gramStart"/>
      <w:r w:rsidRPr="00B15215">
        <w:rPr>
          <w:sz w:val="22"/>
          <w:szCs w:val="22"/>
        </w:rPr>
        <w:t>areas;</w:t>
      </w:r>
      <w:proofErr w:type="gramEnd"/>
      <w:r w:rsidRPr="00B15215">
        <w:rPr>
          <w:sz w:val="22"/>
          <w:szCs w:val="22"/>
        </w:rPr>
        <w:t xml:space="preserve"> </w:t>
      </w:r>
    </w:p>
    <w:p w14:paraId="4CC87464" w14:textId="3495B231" w:rsidR="005D5713" w:rsidRPr="00B15215" w:rsidRDefault="005D5713" w:rsidP="005D5713">
      <w:pPr>
        <w:pStyle w:val="Default"/>
        <w:numPr>
          <w:ilvl w:val="0"/>
          <w:numId w:val="1"/>
        </w:numPr>
        <w:spacing w:after="61"/>
        <w:rPr>
          <w:sz w:val="22"/>
          <w:szCs w:val="22"/>
        </w:rPr>
      </w:pPr>
      <w:r w:rsidRPr="00B15215">
        <w:rPr>
          <w:sz w:val="22"/>
          <w:szCs w:val="22"/>
        </w:rPr>
        <w:lastRenderedPageBreak/>
        <w:t xml:space="preserve">development, enhancement or refurbishment of local club and sports facilities including facilities such as community swimming pools, changing rooms, toilets, digital aids such as score / information boards </w:t>
      </w:r>
      <w:proofErr w:type="gramStart"/>
      <w:r w:rsidRPr="00B15215">
        <w:rPr>
          <w:sz w:val="22"/>
          <w:szCs w:val="22"/>
        </w:rPr>
        <w:t>etc.;</w:t>
      </w:r>
      <w:proofErr w:type="gramEnd"/>
      <w:r w:rsidRPr="00B15215">
        <w:rPr>
          <w:sz w:val="22"/>
          <w:szCs w:val="22"/>
        </w:rPr>
        <w:t xml:space="preserve"> </w:t>
      </w:r>
    </w:p>
    <w:p w14:paraId="54A92E47" w14:textId="77777777" w:rsidR="005D5713" w:rsidRPr="00B15215" w:rsidRDefault="005D5713" w:rsidP="005D5713">
      <w:pPr>
        <w:pStyle w:val="Default"/>
        <w:numPr>
          <w:ilvl w:val="0"/>
          <w:numId w:val="1"/>
        </w:numPr>
        <w:spacing w:after="61"/>
        <w:rPr>
          <w:sz w:val="22"/>
          <w:szCs w:val="22"/>
        </w:rPr>
      </w:pPr>
      <w:r w:rsidRPr="00B15215">
        <w:rPr>
          <w:sz w:val="22"/>
          <w:szCs w:val="22"/>
        </w:rPr>
        <w:t xml:space="preserve">enhancement to school/parish facilities which are open to use by all of the community after school </w:t>
      </w:r>
      <w:proofErr w:type="gramStart"/>
      <w:r w:rsidRPr="00B15215">
        <w:rPr>
          <w:sz w:val="22"/>
          <w:szCs w:val="22"/>
        </w:rPr>
        <w:t>hours;</w:t>
      </w:r>
      <w:proofErr w:type="gramEnd"/>
      <w:r w:rsidRPr="00B15215">
        <w:rPr>
          <w:sz w:val="22"/>
          <w:szCs w:val="22"/>
        </w:rPr>
        <w:t xml:space="preserve"> </w:t>
      </w:r>
    </w:p>
    <w:p w14:paraId="3049CCD0" w14:textId="77777777" w:rsidR="005D5713" w:rsidRPr="00B15215" w:rsidRDefault="005D5713" w:rsidP="005D5713">
      <w:pPr>
        <w:pStyle w:val="Default"/>
        <w:numPr>
          <w:ilvl w:val="0"/>
          <w:numId w:val="1"/>
        </w:numPr>
        <w:spacing w:after="61"/>
        <w:rPr>
          <w:sz w:val="22"/>
          <w:szCs w:val="22"/>
        </w:rPr>
      </w:pPr>
      <w:r w:rsidRPr="00B15215">
        <w:rPr>
          <w:sz w:val="22"/>
          <w:szCs w:val="22"/>
        </w:rPr>
        <w:t xml:space="preserve">purchase of equipment for local clubs, festivals, community events and organisations </w:t>
      </w:r>
      <w:proofErr w:type="gramStart"/>
      <w:r w:rsidRPr="00B15215">
        <w:rPr>
          <w:sz w:val="22"/>
          <w:szCs w:val="22"/>
        </w:rPr>
        <w:t>e.g.</w:t>
      </w:r>
      <w:proofErr w:type="gramEnd"/>
      <w:r w:rsidRPr="00B15215">
        <w:rPr>
          <w:sz w:val="22"/>
          <w:szCs w:val="22"/>
        </w:rPr>
        <w:t xml:space="preserve"> music, arts or sports equipment; </w:t>
      </w:r>
    </w:p>
    <w:p w14:paraId="6DC63C4A" w14:textId="636B8E95" w:rsidR="005D5713" w:rsidRPr="00B15215" w:rsidRDefault="005D5713" w:rsidP="005D5713">
      <w:pPr>
        <w:pStyle w:val="Default"/>
        <w:numPr>
          <w:ilvl w:val="0"/>
          <w:numId w:val="1"/>
        </w:numPr>
        <w:spacing w:after="61"/>
        <w:rPr>
          <w:sz w:val="22"/>
          <w:szCs w:val="22"/>
        </w:rPr>
      </w:pPr>
      <w:r w:rsidRPr="00B15215">
        <w:rPr>
          <w:sz w:val="22"/>
          <w:szCs w:val="22"/>
        </w:rPr>
        <w:t xml:space="preserve">transport infrastructure such as the purchase of community vehicles, bus shelters and attendant information boards; (any vehicle funded must be in good condition and not more than 5 years old) </w:t>
      </w:r>
    </w:p>
    <w:p w14:paraId="6903D539" w14:textId="17EA51B2" w:rsidR="005D5713" w:rsidRPr="00B15215" w:rsidRDefault="005D5713" w:rsidP="005D5713">
      <w:pPr>
        <w:pStyle w:val="Default"/>
        <w:numPr>
          <w:ilvl w:val="0"/>
          <w:numId w:val="1"/>
        </w:numPr>
        <w:rPr>
          <w:sz w:val="22"/>
          <w:szCs w:val="22"/>
        </w:rPr>
      </w:pPr>
      <w:r w:rsidRPr="00B15215">
        <w:rPr>
          <w:sz w:val="22"/>
          <w:szCs w:val="22"/>
        </w:rPr>
        <w:t xml:space="preserve">projects that help address dereliction and/or wider local economic and community development </w:t>
      </w:r>
      <w:proofErr w:type="gramStart"/>
      <w:r w:rsidRPr="00B15215">
        <w:rPr>
          <w:sz w:val="22"/>
          <w:szCs w:val="22"/>
        </w:rPr>
        <w:t>objectives;</w:t>
      </w:r>
      <w:proofErr w:type="gramEnd"/>
      <w:r w:rsidRPr="00B15215">
        <w:rPr>
          <w:sz w:val="22"/>
          <w:szCs w:val="22"/>
        </w:rPr>
        <w:t xml:space="preserve"> </w:t>
      </w:r>
    </w:p>
    <w:p w14:paraId="65A3FFDC" w14:textId="77777777" w:rsidR="005D5713" w:rsidRPr="00B15215" w:rsidRDefault="005D5713" w:rsidP="005D5713">
      <w:pPr>
        <w:pStyle w:val="Default"/>
        <w:numPr>
          <w:ilvl w:val="0"/>
          <w:numId w:val="1"/>
        </w:numPr>
        <w:rPr>
          <w:sz w:val="22"/>
          <w:szCs w:val="22"/>
        </w:rPr>
      </w:pPr>
      <w:r w:rsidRPr="00B15215">
        <w:rPr>
          <w:sz w:val="22"/>
          <w:szCs w:val="22"/>
        </w:rPr>
        <w:t xml:space="preserve">purchase and refurbishment of vacant or derelict buildings for community use where a clear need is identified. </w:t>
      </w:r>
    </w:p>
    <w:p w14:paraId="26FB8ACD" w14:textId="07AF2826" w:rsidR="005D5713" w:rsidRPr="003D53BD" w:rsidRDefault="005D5713" w:rsidP="005D5713">
      <w:pPr>
        <w:pStyle w:val="Default"/>
        <w:numPr>
          <w:ilvl w:val="0"/>
          <w:numId w:val="1"/>
        </w:numPr>
        <w:rPr>
          <w:sz w:val="22"/>
          <w:szCs w:val="22"/>
        </w:rPr>
      </w:pPr>
      <w:r w:rsidRPr="00B15215">
        <w:rPr>
          <w:sz w:val="22"/>
          <w:szCs w:val="22"/>
        </w:rPr>
        <w:t>Purchase of land and associated works for the development of community facilities such as play areas/ MUGAs or town parks/ community gardens, recreational areas etc</w:t>
      </w:r>
      <w:r w:rsidRPr="00B15215">
        <w:rPr>
          <w:b/>
          <w:bCs/>
          <w:sz w:val="22"/>
          <w:szCs w:val="22"/>
        </w:rPr>
        <w:t xml:space="preserve">. (purchases must only be administered by the local authority). </w:t>
      </w:r>
    </w:p>
    <w:p w14:paraId="6AC7CFB4" w14:textId="77777777" w:rsidR="003D53BD" w:rsidRDefault="003D53BD" w:rsidP="003D53BD">
      <w:pPr>
        <w:pStyle w:val="Default"/>
        <w:rPr>
          <w:b/>
          <w:bCs/>
          <w:sz w:val="22"/>
          <w:szCs w:val="22"/>
        </w:rPr>
      </w:pPr>
    </w:p>
    <w:p w14:paraId="677B8F0D" w14:textId="0A2BD991" w:rsidR="00FA0476" w:rsidRDefault="003D53BD" w:rsidP="003D53BD">
      <w:pPr>
        <w:pStyle w:val="Default"/>
        <w:rPr>
          <w:b/>
          <w:bCs/>
          <w:sz w:val="22"/>
          <w:szCs w:val="22"/>
        </w:rPr>
      </w:pPr>
      <w:r>
        <w:rPr>
          <w:b/>
          <w:bCs/>
          <w:sz w:val="22"/>
          <w:szCs w:val="22"/>
        </w:rPr>
        <w:t>Application Process</w:t>
      </w:r>
    </w:p>
    <w:p w14:paraId="131925AB" w14:textId="651B0C23" w:rsidR="00697C2D" w:rsidRDefault="00697C2D" w:rsidP="00697C2D">
      <w:pPr>
        <w:pStyle w:val="Default"/>
        <w:numPr>
          <w:ilvl w:val="0"/>
          <w:numId w:val="3"/>
        </w:numPr>
        <w:rPr>
          <w:rStyle w:val="Strong"/>
          <w:rFonts w:asciiTheme="minorHAnsi" w:hAnsiTheme="minorHAnsi" w:cstheme="minorHAnsi"/>
          <w:b w:val="0"/>
          <w:bCs w:val="0"/>
          <w:color w:val="212121"/>
          <w:sz w:val="22"/>
          <w:szCs w:val="22"/>
          <w:shd w:val="clear" w:color="auto" w:fill="FFFFFF"/>
        </w:rPr>
      </w:pPr>
      <w:r>
        <w:rPr>
          <w:rStyle w:val="Strong"/>
          <w:rFonts w:asciiTheme="minorHAnsi" w:hAnsiTheme="minorHAnsi" w:cstheme="minorHAnsi"/>
          <w:b w:val="0"/>
          <w:bCs w:val="0"/>
          <w:color w:val="212121"/>
          <w:sz w:val="22"/>
          <w:szCs w:val="22"/>
          <w:shd w:val="clear" w:color="auto" w:fill="FFFFFF"/>
        </w:rPr>
        <w:t>Ensure that the application form contains as much information, is fully completed with all questions answered.</w:t>
      </w:r>
    </w:p>
    <w:p w14:paraId="090FF804" w14:textId="77777777" w:rsidR="00697C2D" w:rsidRPr="00697C2D" w:rsidRDefault="00697C2D" w:rsidP="00697C2D">
      <w:pPr>
        <w:pStyle w:val="Default"/>
        <w:ind w:left="720"/>
        <w:rPr>
          <w:rStyle w:val="Strong"/>
          <w:rFonts w:asciiTheme="minorHAnsi" w:hAnsiTheme="minorHAnsi" w:cstheme="minorHAnsi"/>
          <w:b w:val="0"/>
          <w:bCs w:val="0"/>
          <w:color w:val="212121"/>
          <w:sz w:val="22"/>
          <w:szCs w:val="22"/>
          <w:shd w:val="clear" w:color="auto" w:fill="FFFFFF"/>
        </w:rPr>
      </w:pPr>
    </w:p>
    <w:p w14:paraId="4F70B9B2" w14:textId="41B8A32C" w:rsidR="00697C2D" w:rsidRDefault="004E1524" w:rsidP="00697C2D">
      <w:pPr>
        <w:numPr>
          <w:ilvl w:val="0"/>
          <w:numId w:val="3"/>
        </w:numPr>
        <w:spacing w:after="0" w:line="240" w:lineRule="auto"/>
        <w:rPr>
          <w:rStyle w:val="Strong"/>
          <w:rFonts w:cstheme="minorHAnsi"/>
          <w:b w:val="0"/>
          <w:bCs w:val="0"/>
          <w:color w:val="212121"/>
          <w:shd w:val="clear" w:color="auto" w:fill="FFFFFF"/>
        </w:rPr>
      </w:pPr>
      <w:r w:rsidRPr="004E1524">
        <w:rPr>
          <w:rStyle w:val="Strong"/>
          <w:rFonts w:cstheme="minorHAnsi"/>
          <w:b w:val="0"/>
          <w:bCs w:val="0"/>
          <w:color w:val="212121"/>
          <w:shd w:val="clear" w:color="auto" w:fill="FFFFFF"/>
        </w:rPr>
        <w:t>Only towns &amp; villages that are hosting high levels of the Beneficiaries of Temporary Protection or International Protection Applicants are eligible for this funding</w:t>
      </w:r>
      <w:r w:rsidR="00FA0476">
        <w:rPr>
          <w:rStyle w:val="Strong"/>
          <w:rFonts w:cstheme="minorHAnsi"/>
          <w:b w:val="0"/>
          <w:bCs w:val="0"/>
          <w:color w:val="212121"/>
          <w:shd w:val="clear" w:color="auto" w:fill="FFFFFF"/>
        </w:rPr>
        <w:t>.</w:t>
      </w:r>
    </w:p>
    <w:p w14:paraId="27B4D05E" w14:textId="77777777" w:rsidR="00697C2D" w:rsidRPr="00697C2D" w:rsidRDefault="00697C2D" w:rsidP="00697C2D">
      <w:pPr>
        <w:spacing w:after="0" w:line="240" w:lineRule="auto"/>
        <w:rPr>
          <w:rStyle w:val="Strong"/>
          <w:rFonts w:cstheme="minorHAnsi"/>
          <w:b w:val="0"/>
          <w:bCs w:val="0"/>
          <w:color w:val="212121"/>
          <w:shd w:val="clear" w:color="auto" w:fill="FFFFFF"/>
        </w:rPr>
      </w:pPr>
    </w:p>
    <w:p w14:paraId="14527998" w14:textId="4784DF20" w:rsidR="00697C2D" w:rsidRDefault="00697C2D" w:rsidP="00697C2D">
      <w:pPr>
        <w:pStyle w:val="Default"/>
        <w:numPr>
          <w:ilvl w:val="0"/>
          <w:numId w:val="3"/>
        </w:numPr>
        <w:rPr>
          <w:rStyle w:val="Strong"/>
          <w:rFonts w:asciiTheme="minorHAnsi" w:hAnsiTheme="minorHAnsi" w:cstheme="minorHAnsi"/>
          <w:b w:val="0"/>
          <w:bCs w:val="0"/>
          <w:color w:val="212121"/>
          <w:sz w:val="22"/>
          <w:szCs w:val="22"/>
          <w:shd w:val="clear" w:color="auto" w:fill="FFFFFF"/>
        </w:rPr>
      </w:pPr>
      <w:r>
        <w:rPr>
          <w:rStyle w:val="Strong"/>
          <w:rFonts w:asciiTheme="minorHAnsi" w:hAnsiTheme="minorHAnsi" w:cstheme="minorHAnsi"/>
          <w:b w:val="0"/>
          <w:bCs w:val="0"/>
          <w:color w:val="212121"/>
          <w:sz w:val="22"/>
          <w:szCs w:val="22"/>
          <w:shd w:val="clear" w:color="auto" w:fill="FFFFFF"/>
        </w:rPr>
        <w:t>Ensure accurate costings at application stage.</w:t>
      </w:r>
    </w:p>
    <w:p w14:paraId="0C202054" w14:textId="77777777" w:rsidR="00697C2D" w:rsidRDefault="00697C2D" w:rsidP="00697C2D">
      <w:pPr>
        <w:pStyle w:val="Default"/>
        <w:ind w:left="720"/>
        <w:rPr>
          <w:rStyle w:val="Strong"/>
          <w:rFonts w:asciiTheme="minorHAnsi" w:hAnsiTheme="minorHAnsi" w:cstheme="minorHAnsi"/>
          <w:b w:val="0"/>
          <w:bCs w:val="0"/>
          <w:color w:val="212121"/>
          <w:sz w:val="22"/>
          <w:szCs w:val="22"/>
          <w:shd w:val="clear" w:color="auto" w:fill="FFFFFF"/>
        </w:rPr>
      </w:pPr>
    </w:p>
    <w:p w14:paraId="77E481BF" w14:textId="10619F12" w:rsidR="00697C2D" w:rsidRPr="00697C2D" w:rsidRDefault="00697C2D" w:rsidP="00697C2D">
      <w:pPr>
        <w:pStyle w:val="Default"/>
        <w:numPr>
          <w:ilvl w:val="0"/>
          <w:numId w:val="3"/>
        </w:numPr>
        <w:rPr>
          <w:rStyle w:val="Strong"/>
          <w:rFonts w:asciiTheme="minorHAnsi" w:hAnsiTheme="minorHAnsi" w:cstheme="minorHAnsi"/>
          <w:b w:val="0"/>
          <w:bCs w:val="0"/>
          <w:color w:val="212121"/>
          <w:sz w:val="22"/>
          <w:szCs w:val="22"/>
          <w:shd w:val="clear" w:color="auto" w:fill="FFFFFF"/>
        </w:rPr>
      </w:pPr>
      <w:r>
        <w:rPr>
          <w:rStyle w:val="Strong"/>
          <w:rFonts w:asciiTheme="minorHAnsi" w:hAnsiTheme="minorHAnsi" w:cstheme="minorHAnsi"/>
          <w:b w:val="0"/>
          <w:bCs w:val="0"/>
          <w:color w:val="212121"/>
          <w:sz w:val="22"/>
          <w:szCs w:val="22"/>
          <w:shd w:val="clear" w:color="auto" w:fill="FFFFFF"/>
        </w:rPr>
        <w:t>Projects must be able to be completed within the required timeframe.</w:t>
      </w:r>
    </w:p>
    <w:p w14:paraId="5D204380" w14:textId="77777777" w:rsidR="00697C2D" w:rsidRDefault="00697C2D" w:rsidP="00697C2D">
      <w:pPr>
        <w:pStyle w:val="Default"/>
        <w:ind w:left="720"/>
        <w:rPr>
          <w:rStyle w:val="Strong"/>
          <w:rFonts w:asciiTheme="minorHAnsi" w:hAnsiTheme="minorHAnsi" w:cstheme="minorHAnsi"/>
          <w:b w:val="0"/>
          <w:bCs w:val="0"/>
          <w:color w:val="212121"/>
          <w:sz w:val="22"/>
          <w:szCs w:val="22"/>
          <w:shd w:val="clear" w:color="auto" w:fill="FFFFFF"/>
        </w:rPr>
      </w:pPr>
    </w:p>
    <w:p w14:paraId="25284ED3" w14:textId="6358B4E3" w:rsidR="003D53BD" w:rsidRDefault="003D53BD" w:rsidP="003D53BD">
      <w:pPr>
        <w:pStyle w:val="Default"/>
        <w:numPr>
          <w:ilvl w:val="0"/>
          <w:numId w:val="3"/>
        </w:numPr>
        <w:rPr>
          <w:rStyle w:val="Strong"/>
          <w:rFonts w:asciiTheme="minorHAnsi" w:hAnsiTheme="minorHAnsi" w:cstheme="minorHAnsi"/>
          <w:b w:val="0"/>
          <w:bCs w:val="0"/>
          <w:color w:val="212121"/>
          <w:sz w:val="22"/>
          <w:szCs w:val="22"/>
          <w:shd w:val="clear" w:color="auto" w:fill="FFFFFF"/>
        </w:rPr>
      </w:pPr>
      <w:r w:rsidRPr="003D53BD">
        <w:rPr>
          <w:rStyle w:val="Strong"/>
          <w:rFonts w:asciiTheme="minorHAnsi" w:hAnsiTheme="minorHAnsi" w:cstheme="minorHAnsi"/>
          <w:b w:val="0"/>
          <w:bCs w:val="0"/>
          <w:color w:val="212121"/>
          <w:sz w:val="22"/>
          <w:szCs w:val="22"/>
          <w:shd w:val="clear" w:color="auto" w:fill="FFFFFF"/>
        </w:rPr>
        <w:t xml:space="preserve">Projects should be shovel ready with all permissions in place or at an advanced stage at the time of funding approval. 50% of project costs must be incurred in 2025 with the project completed in full by 2026.  </w:t>
      </w:r>
    </w:p>
    <w:p w14:paraId="1E04C3E1" w14:textId="77777777" w:rsidR="003D53BD" w:rsidRDefault="003D53BD" w:rsidP="003D53BD">
      <w:pPr>
        <w:pStyle w:val="Default"/>
        <w:rPr>
          <w:sz w:val="22"/>
          <w:szCs w:val="22"/>
        </w:rPr>
      </w:pPr>
    </w:p>
    <w:p w14:paraId="71B4E994" w14:textId="1F5ED17D" w:rsidR="00697C2D" w:rsidRPr="00DC086B" w:rsidRDefault="00697C2D" w:rsidP="003D53BD">
      <w:pPr>
        <w:pStyle w:val="Default"/>
        <w:rPr>
          <w:b/>
          <w:bCs/>
          <w:sz w:val="22"/>
          <w:szCs w:val="22"/>
        </w:rPr>
      </w:pPr>
      <w:r w:rsidRPr="00DC086B">
        <w:rPr>
          <w:b/>
          <w:bCs/>
          <w:sz w:val="22"/>
          <w:szCs w:val="22"/>
        </w:rPr>
        <w:t>Online Consultation Process</w:t>
      </w:r>
    </w:p>
    <w:p w14:paraId="7C29BE48" w14:textId="77777777" w:rsidR="00DC086B" w:rsidRDefault="00DC086B" w:rsidP="003D53BD">
      <w:pPr>
        <w:pStyle w:val="Default"/>
        <w:rPr>
          <w:sz w:val="22"/>
          <w:szCs w:val="22"/>
        </w:rPr>
      </w:pPr>
    </w:p>
    <w:p w14:paraId="30B2A4E1" w14:textId="03C37345" w:rsidR="00697C2D" w:rsidRDefault="00697C2D" w:rsidP="003D53BD">
      <w:pPr>
        <w:pStyle w:val="Default"/>
        <w:rPr>
          <w:sz w:val="22"/>
          <w:szCs w:val="22"/>
        </w:rPr>
      </w:pPr>
      <w:r>
        <w:rPr>
          <w:sz w:val="22"/>
          <w:szCs w:val="22"/>
        </w:rPr>
        <w:t xml:space="preserve">Groups and Organisations are encouraged to </w:t>
      </w:r>
      <w:proofErr w:type="gramStart"/>
      <w:r>
        <w:rPr>
          <w:sz w:val="22"/>
          <w:szCs w:val="22"/>
        </w:rPr>
        <w:t>submit</w:t>
      </w:r>
      <w:proofErr w:type="gramEnd"/>
      <w:r>
        <w:rPr>
          <w:sz w:val="22"/>
          <w:szCs w:val="22"/>
        </w:rPr>
        <w:t xml:space="preserve"> </w:t>
      </w:r>
    </w:p>
    <w:p w14:paraId="4AF6D6A6" w14:textId="77777777" w:rsidR="00697C2D" w:rsidRDefault="00697C2D" w:rsidP="003D53BD">
      <w:pPr>
        <w:pStyle w:val="Default"/>
        <w:rPr>
          <w:sz w:val="22"/>
          <w:szCs w:val="22"/>
        </w:rPr>
      </w:pPr>
    </w:p>
    <w:p w14:paraId="50ED2F1B" w14:textId="5F943BF5" w:rsidR="00697C2D" w:rsidRPr="00DC086B" w:rsidRDefault="00697C2D" w:rsidP="003D53BD">
      <w:pPr>
        <w:pStyle w:val="Default"/>
        <w:rPr>
          <w:b/>
          <w:bCs/>
          <w:sz w:val="22"/>
          <w:szCs w:val="22"/>
        </w:rPr>
      </w:pPr>
      <w:r w:rsidRPr="00DC086B">
        <w:rPr>
          <w:b/>
          <w:bCs/>
          <w:sz w:val="22"/>
          <w:szCs w:val="22"/>
        </w:rPr>
        <w:t>In-person Information Sessions</w:t>
      </w:r>
    </w:p>
    <w:p w14:paraId="34C1A428" w14:textId="77777777" w:rsidR="00DC086B" w:rsidRDefault="00DC086B" w:rsidP="003D53BD">
      <w:pPr>
        <w:pStyle w:val="Default"/>
        <w:rPr>
          <w:sz w:val="22"/>
          <w:szCs w:val="22"/>
        </w:rPr>
      </w:pPr>
    </w:p>
    <w:p w14:paraId="5A5FB208" w14:textId="5CCCB827" w:rsidR="00697C2D" w:rsidRDefault="00697C2D" w:rsidP="003D53BD">
      <w:pPr>
        <w:pStyle w:val="Default"/>
        <w:rPr>
          <w:sz w:val="22"/>
          <w:szCs w:val="22"/>
        </w:rPr>
      </w:pPr>
      <w:r>
        <w:rPr>
          <w:sz w:val="22"/>
          <w:szCs w:val="22"/>
        </w:rPr>
        <w:t xml:space="preserve">Staff from </w:t>
      </w:r>
      <w:r w:rsidRPr="00697C2D">
        <w:rPr>
          <w:sz w:val="22"/>
          <w:szCs w:val="22"/>
        </w:rPr>
        <w:t>Monaghan County Council</w:t>
      </w:r>
      <w:r>
        <w:rPr>
          <w:sz w:val="22"/>
          <w:szCs w:val="22"/>
        </w:rPr>
        <w:t xml:space="preserve"> will be available to meet with groups and </w:t>
      </w:r>
      <w:r w:rsidR="00DC086B">
        <w:rPr>
          <w:sz w:val="22"/>
          <w:szCs w:val="22"/>
        </w:rPr>
        <w:t>organisations</w:t>
      </w:r>
      <w:r>
        <w:rPr>
          <w:sz w:val="22"/>
          <w:szCs w:val="22"/>
        </w:rPr>
        <w:t xml:space="preserve"> to dis</w:t>
      </w:r>
      <w:r w:rsidR="00DC086B">
        <w:rPr>
          <w:sz w:val="22"/>
          <w:szCs w:val="22"/>
        </w:rPr>
        <w:t>cuss and advise on their proposals.  These information sessions will be held in the following areas:</w:t>
      </w:r>
    </w:p>
    <w:p w14:paraId="0B626430" w14:textId="77777777" w:rsidR="00DC086B" w:rsidRDefault="00DC086B" w:rsidP="003D53BD">
      <w:pPr>
        <w:pStyle w:val="Default"/>
        <w:rPr>
          <w:sz w:val="22"/>
          <w:szCs w:val="22"/>
        </w:rPr>
      </w:pPr>
    </w:p>
    <w:p w14:paraId="5807F845" w14:textId="53E54A15" w:rsidR="00DC086B" w:rsidRDefault="00DC086B" w:rsidP="00DC086B">
      <w:pPr>
        <w:pStyle w:val="Default"/>
        <w:numPr>
          <w:ilvl w:val="0"/>
          <w:numId w:val="5"/>
        </w:numPr>
        <w:rPr>
          <w:sz w:val="22"/>
          <w:szCs w:val="22"/>
        </w:rPr>
      </w:pPr>
      <w:r>
        <w:rPr>
          <w:sz w:val="22"/>
          <w:szCs w:val="22"/>
        </w:rPr>
        <w:t xml:space="preserve">The Courthouse, Clones on </w:t>
      </w:r>
    </w:p>
    <w:p w14:paraId="2DB09BE9" w14:textId="4FE8BD45" w:rsidR="00DC086B" w:rsidRDefault="00DC086B" w:rsidP="00DC086B">
      <w:pPr>
        <w:pStyle w:val="Default"/>
        <w:numPr>
          <w:ilvl w:val="0"/>
          <w:numId w:val="5"/>
        </w:numPr>
        <w:rPr>
          <w:sz w:val="22"/>
          <w:szCs w:val="22"/>
        </w:rPr>
      </w:pPr>
      <w:r>
        <w:rPr>
          <w:sz w:val="22"/>
          <w:szCs w:val="22"/>
        </w:rPr>
        <w:t xml:space="preserve">Teach </w:t>
      </w:r>
      <w:proofErr w:type="spellStart"/>
      <w:r>
        <w:rPr>
          <w:sz w:val="22"/>
          <w:szCs w:val="22"/>
        </w:rPr>
        <w:t>na</w:t>
      </w:r>
      <w:proofErr w:type="spellEnd"/>
      <w:r>
        <w:rPr>
          <w:sz w:val="22"/>
          <w:szCs w:val="22"/>
        </w:rPr>
        <w:t xml:space="preserve"> </w:t>
      </w:r>
      <w:proofErr w:type="spellStart"/>
      <w:r>
        <w:rPr>
          <w:sz w:val="22"/>
          <w:szCs w:val="22"/>
        </w:rPr>
        <w:t>nDaoine</w:t>
      </w:r>
      <w:proofErr w:type="spellEnd"/>
      <w:r>
        <w:rPr>
          <w:sz w:val="22"/>
          <w:szCs w:val="22"/>
        </w:rPr>
        <w:t xml:space="preserve">, </w:t>
      </w:r>
      <w:proofErr w:type="gramStart"/>
      <w:r>
        <w:rPr>
          <w:sz w:val="22"/>
          <w:szCs w:val="22"/>
        </w:rPr>
        <w:t>Monaghan</w:t>
      </w:r>
      <w:proofErr w:type="gramEnd"/>
      <w:r>
        <w:rPr>
          <w:sz w:val="22"/>
          <w:szCs w:val="22"/>
        </w:rPr>
        <w:t xml:space="preserve">   </w:t>
      </w:r>
    </w:p>
    <w:p w14:paraId="7AD8AA3B" w14:textId="5D62ABD1" w:rsidR="00DC086B" w:rsidRPr="00B15215" w:rsidRDefault="00DC086B" w:rsidP="00DC086B">
      <w:pPr>
        <w:pStyle w:val="Default"/>
        <w:numPr>
          <w:ilvl w:val="0"/>
          <w:numId w:val="5"/>
        </w:numPr>
        <w:rPr>
          <w:sz w:val="22"/>
          <w:szCs w:val="22"/>
        </w:rPr>
      </w:pPr>
      <w:r>
        <w:rPr>
          <w:sz w:val="22"/>
          <w:szCs w:val="22"/>
        </w:rPr>
        <w:t xml:space="preserve">The Chamber, </w:t>
      </w:r>
      <w:proofErr w:type="spellStart"/>
      <w:r>
        <w:rPr>
          <w:sz w:val="22"/>
          <w:szCs w:val="22"/>
        </w:rPr>
        <w:t>Carrickmacross</w:t>
      </w:r>
      <w:proofErr w:type="spellEnd"/>
      <w:r>
        <w:rPr>
          <w:sz w:val="22"/>
          <w:szCs w:val="22"/>
        </w:rPr>
        <w:t xml:space="preserve"> Civic Offices</w:t>
      </w:r>
    </w:p>
    <w:p w14:paraId="4CE3DE1C" w14:textId="77777777" w:rsidR="00DC086B" w:rsidRDefault="00DC086B" w:rsidP="00AB7EF6">
      <w:pPr>
        <w:rPr>
          <w:rFonts w:ascii="Calibri" w:hAnsi="Calibri" w:cs="Calibri"/>
          <w:color w:val="000000"/>
          <w:kern w:val="0"/>
        </w:rPr>
      </w:pPr>
    </w:p>
    <w:p w14:paraId="441E1942" w14:textId="2D666956" w:rsidR="00AB7EF6" w:rsidRPr="005D5713" w:rsidRDefault="00AB7EF6" w:rsidP="00AB7EF6">
      <w:pPr>
        <w:rPr>
          <w:rFonts w:ascii="Calibri" w:hAnsi="Calibri" w:cs="Calibri"/>
          <w:color w:val="000000"/>
          <w:kern w:val="0"/>
        </w:rPr>
      </w:pPr>
      <w:r w:rsidRPr="00AB7EF6">
        <w:rPr>
          <w:rFonts w:ascii="Calibri" w:hAnsi="Calibri" w:cs="Calibri"/>
          <w:color w:val="000000"/>
          <w:kern w:val="0"/>
        </w:rPr>
        <w:t>Further information on the funding application process will be available on Monaghan County Council</w:t>
      </w:r>
      <w:r>
        <w:rPr>
          <w:rFonts w:ascii="Calibri" w:hAnsi="Calibri" w:cs="Calibri"/>
          <w:color w:val="000000"/>
          <w:kern w:val="0"/>
        </w:rPr>
        <w:t>’s</w:t>
      </w:r>
      <w:r w:rsidRPr="00AB7EF6">
        <w:rPr>
          <w:rFonts w:ascii="Calibri" w:hAnsi="Calibri" w:cs="Calibri"/>
          <w:color w:val="000000"/>
          <w:kern w:val="0"/>
        </w:rPr>
        <w:t xml:space="preserve"> website in the coming weeks. As part of the process, the council intends to set up </w:t>
      </w:r>
      <w:proofErr w:type="gramStart"/>
      <w:r w:rsidRPr="00AB7EF6">
        <w:rPr>
          <w:rFonts w:ascii="Calibri" w:hAnsi="Calibri" w:cs="Calibri"/>
          <w:color w:val="000000"/>
          <w:kern w:val="0"/>
        </w:rPr>
        <w:t xml:space="preserve">a </w:t>
      </w:r>
      <w:r w:rsidRPr="00AB7EF6">
        <w:rPr>
          <w:rFonts w:ascii="Calibri" w:hAnsi="Calibri" w:cs="Calibri"/>
          <w:color w:val="000000"/>
          <w:kern w:val="0"/>
        </w:rPr>
        <w:lastRenderedPageBreak/>
        <w:t>number of</w:t>
      </w:r>
      <w:proofErr w:type="gramEnd"/>
      <w:r w:rsidRPr="00AB7EF6">
        <w:rPr>
          <w:rFonts w:ascii="Calibri" w:hAnsi="Calibri" w:cs="Calibri"/>
          <w:color w:val="000000"/>
          <w:kern w:val="0"/>
        </w:rPr>
        <w:t xml:space="preserve"> workshops around the county to engage with host communities and assist them in identifying projects that might be eligible for funding under the scheme.</w:t>
      </w:r>
    </w:p>
    <w:sectPr w:rsidR="00AB7EF6" w:rsidRPr="005D57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2275"/>
    <w:multiLevelType w:val="hybridMultilevel"/>
    <w:tmpl w:val="80A82A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7717C8C"/>
    <w:multiLevelType w:val="hybridMultilevel"/>
    <w:tmpl w:val="BF5A95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FB41A5E"/>
    <w:multiLevelType w:val="hybridMultilevel"/>
    <w:tmpl w:val="6AF472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70D1385"/>
    <w:multiLevelType w:val="hybridMultilevel"/>
    <w:tmpl w:val="2DA0A7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DA865D7"/>
    <w:multiLevelType w:val="multilevel"/>
    <w:tmpl w:val="78829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32155065">
    <w:abstractNumId w:val="0"/>
  </w:num>
  <w:num w:numId="2" w16cid:durableId="1525753885">
    <w:abstractNumId w:val="1"/>
  </w:num>
  <w:num w:numId="3" w16cid:durableId="468473246">
    <w:abstractNumId w:val="3"/>
  </w:num>
  <w:num w:numId="4" w16cid:durableId="822812039">
    <w:abstractNumId w:val="4"/>
  </w:num>
  <w:num w:numId="5" w16cid:durableId="8088618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8E8"/>
    <w:rsid w:val="001B1602"/>
    <w:rsid w:val="003D53BD"/>
    <w:rsid w:val="004E1524"/>
    <w:rsid w:val="00591F6F"/>
    <w:rsid w:val="005D5713"/>
    <w:rsid w:val="00697C2D"/>
    <w:rsid w:val="009B68E8"/>
    <w:rsid w:val="00AB7EF6"/>
    <w:rsid w:val="00B15215"/>
    <w:rsid w:val="00DC086B"/>
    <w:rsid w:val="00E21018"/>
    <w:rsid w:val="00EE2CC3"/>
    <w:rsid w:val="00FA0476"/>
    <w:rsid w:val="00FE33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423B1"/>
  <w15:chartTrackingRefBased/>
  <w15:docId w15:val="{A2E1D1F8-1D85-4FD9-963C-213F48A8D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68E8"/>
    <w:pPr>
      <w:autoSpaceDE w:val="0"/>
      <w:autoSpaceDN w:val="0"/>
      <w:adjustRightInd w:val="0"/>
      <w:spacing w:after="0" w:line="240" w:lineRule="auto"/>
    </w:pPr>
    <w:rPr>
      <w:rFonts w:ascii="Calibri" w:hAnsi="Calibri" w:cs="Calibri"/>
      <w:color w:val="000000"/>
      <w:kern w:val="0"/>
      <w:sz w:val="24"/>
      <w:szCs w:val="24"/>
    </w:rPr>
  </w:style>
  <w:style w:type="character" w:styleId="Strong">
    <w:name w:val="Strong"/>
    <w:basedOn w:val="DefaultParagraphFont"/>
    <w:uiPriority w:val="22"/>
    <w:qFormat/>
    <w:rsid w:val="003D53BD"/>
    <w:rPr>
      <w:b/>
      <w:bCs/>
    </w:rPr>
  </w:style>
  <w:style w:type="paragraph" w:styleId="ListParagraph">
    <w:name w:val="List Paragraph"/>
    <w:basedOn w:val="Normal"/>
    <w:uiPriority w:val="34"/>
    <w:qFormat/>
    <w:rsid w:val="00697C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04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3</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Monaghan County Council</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Aisling Kierans</dc:creator>
  <cp:keywords/>
  <dc:description/>
  <cp:lastModifiedBy>Aisling Kierans</cp:lastModifiedBy>
  <cp:revision>4</cp:revision>
  <dcterms:created xsi:type="dcterms:W3CDTF">2024-03-25T15:45:00Z</dcterms:created>
  <dcterms:modified xsi:type="dcterms:W3CDTF">2024-03-27T16:15:00Z</dcterms:modified>
</cp:coreProperties>
</file>